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</w:rPr>
        <w:t>202</w:t>
      </w:r>
      <w:r>
        <w:rPr>
          <w:rFonts w:hint="eastAsia" w:eastAsia="方正小标宋_GBK"/>
          <w:color w:val="000000"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color w:val="000000"/>
          <w:sz w:val="36"/>
          <w:szCs w:val="36"/>
        </w:rPr>
        <w:t>年度</w:t>
      </w:r>
      <w:r>
        <w:rPr>
          <w:rFonts w:hint="eastAsia" w:eastAsia="方正小标宋_GBK"/>
          <w:color w:val="000000"/>
          <w:sz w:val="36"/>
          <w:szCs w:val="36"/>
          <w:lang w:eastAsia="zh-CN"/>
        </w:rPr>
        <w:t>临平</w:t>
      </w:r>
      <w:r>
        <w:rPr>
          <w:rFonts w:hint="eastAsia" w:eastAsia="方正小标宋_GBK"/>
          <w:color w:val="000000"/>
          <w:sz w:val="36"/>
          <w:szCs w:val="36"/>
        </w:rPr>
        <w:t>区社会科学研究课题选题指南</w:t>
      </w:r>
    </w:p>
    <w:p>
      <w:pPr>
        <w:spacing w:line="570" w:lineRule="exact"/>
        <w:jc w:val="center"/>
        <w:rPr>
          <w:rFonts w:hint="eastAsia" w:eastAsia="方正小标宋_GBK"/>
          <w:color w:val="000000"/>
          <w:sz w:val="36"/>
          <w:szCs w:val="36"/>
        </w:rPr>
      </w:pPr>
    </w:p>
    <w:p>
      <w:pPr>
        <w:spacing w:line="570" w:lineRule="exact"/>
        <w:ind w:firstLine="640" w:firstLineChars="200"/>
        <w:jc w:val="left"/>
        <w:rPr>
          <w:rFonts w:hint="eastAsia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标※号的为重点资助课题，其它为常规课题。</w:t>
      </w:r>
    </w:p>
    <w:p>
      <w:pPr>
        <w:pStyle w:val="6"/>
        <w:ind w:left="0" w:leftChars="0" w:firstLine="0" w:firstLineChars="0"/>
        <w:jc w:val="both"/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 xml:space="preserve">    一、政治研究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习近平新时代中国特色社会主义经济思想的科学体系研究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2.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习近平总书记关于新时代党的建设重要论述研究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3.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习近平总书记关于新发展阶段的重要论述研究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※4.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习近平总书记关于新发展理念的重要论述研究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5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.习近平总书记关于科技创新的重要论述研究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6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.习近平总书记关于加强社会治理的重要论述研究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7.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习近平法治思想的科学体系研究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※8.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新发展阶段临平区实现人民共同富裕的理论内涵和实践路径研究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9</w:t>
      </w: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习近平新时代中国特色社会主义思想在临平的实践研究</w:t>
      </w:r>
    </w:p>
    <w:p>
      <w:pPr>
        <w:pStyle w:val="6"/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※</w:t>
      </w:r>
      <w:r>
        <w:rPr>
          <w:rFonts w:hint="default" w:ascii="Times New Roman" w:hAnsi="Times New Roman" w:eastAsia="仿宋" w:cs="仿宋"/>
          <w:b w:val="0"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临平践行习近平生态文明思想实践研究</w:t>
      </w:r>
    </w:p>
    <w:p>
      <w:pPr>
        <w:pStyle w:val="7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经济研究</w:t>
      </w:r>
    </w:p>
    <w:p>
      <w:pPr>
        <w:pStyle w:val="7"/>
        <w:numPr>
          <w:numId w:val="0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 xml:space="preserve"> 1</w:t>
      </w:r>
      <w:r>
        <w:rPr>
          <w:rFonts w:hint="eastAsia" w:ascii="仿宋" w:hAnsi="仿宋" w:eastAsia="仿宋" w:cs="仿宋"/>
          <w:lang w:val="en-US" w:eastAsia="zh-CN"/>
        </w:rPr>
        <w:t>.临平区数字经济集聚发展研究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ascii="Times New Roman" w:hAnsi="Times New Roman" w:eastAsia="仿宋" w:cs="Times New Roman"/>
          <w:b w:val="0"/>
          <w:bCs w:val="0"/>
          <w:snapToGrid w:val="0"/>
          <w:spacing w:val="0"/>
          <w:kern w:val="2"/>
          <w:sz w:val="32"/>
          <w:szCs w:val="40"/>
          <w:lang w:val="en-US" w:eastAsia="zh-CN" w:bidi="ar-SA"/>
        </w:rPr>
        <w:t>2.</w:t>
      </w:r>
      <w:r>
        <w:rPr>
          <w:rFonts w:hint="eastAsia" w:ascii="仿宋" w:hAnsi="仿宋" w:eastAsia="仿宋" w:cs="仿宋"/>
          <w:lang w:val="en-US" w:eastAsia="zh-CN"/>
        </w:rPr>
        <w:t>临平区发展定位与核心竞争力研究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napToGrid w:val="0"/>
          <w:spacing w:val="0"/>
          <w:kern w:val="2"/>
          <w:sz w:val="32"/>
          <w:szCs w:val="40"/>
          <w:lang w:val="en-US" w:eastAsia="zh-CN" w:bidi="ar-SA"/>
        </w:rPr>
        <w:t>3.</w:t>
      </w:r>
      <w:r>
        <w:rPr>
          <w:rFonts w:hint="eastAsia" w:ascii="仿宋" w:hAnsi="仿宋" w:eastAsia="仿宋" w:cs="仿宋"/>
          <w:lang w:val="en-US" w:eastAsia="zh-CN"/>
        </w:rPr>
        <w:t>临平区发展特色创意经济研究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4</w:t>
      </w: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</w:t>
      </w:r>
      <w:r>
        <w:rPr>
          <w:rFonts w:hint="eastAsia" w:ascii="仿宋" w:hAnsi="仿宋" w:eastAsia="仿宋" w:cs="仿宋"/>
          <w:lang w:val="en-US" w:eastAsia="zh-CN"/>
        </w:rPr>
        <w:t>新发展格局下推动临平制造业产业链现代化水平研究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5</w:t>
      </w: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</w:t>
      </w:r>
      <w:r>
        <w:rPr>
          <w:rFonts w:hint="eastAsia" w:ascii="仿宋" w:hAnsi="仿宋" w:eastAsia="仿宋" w:cs="仿宋"/>
          <w:lang w:val="en-US" w:eastAsia="zh-CN"/>
        </w:rPr>
        <w:t>临平区引进和发展高新技术产业研究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6</w:t>
      </w: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</w:t>
      </w:r>
      <w:r>
        <w:rPr>
          <w:rFonts w:hint="eastAsia" w:ascii="仿宋" w:hAnsi="仿宋" w:eastAsia="仿宋" w:cs="仿宋"/>
          <w:lang w:val="en-US" w:eastAsia="zh-CN"/>
        </w:rPr>
        <w:t>临平区构建一流营商环境研究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7</w:t>
      </w: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</w:t>
      </w:r>
      <w:r>
        <w:rPr>
          <w:rFonts w:hint="eastAsia" w:ascii="仿宋" w:hAnsi="仿宋" w:eastAsia="仿宋" w:cs="仿宋"/>
          <w:lang w:val="en-US" w:eastAsia="zh-CN"/>
        </w:rPr>
        <w:t>临平区高质量发展建设共同富裕示范区研究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8</w:t>
      </w: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</w:t>
      </w:r>
      <w:r>
        <w:rPr>
          <w:rFonts w:hint="eastAsia" w:ascii="仿宋" w:hAnsi="仿宋" w:eastAsia="仿宋" w:cs="仿宋"/>
          <w:lang w:val="en-US" w:eastAsia="zh-CN"/>
        </w:rPr>
        <w:t>临平区实现乡村振兴研究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ascii="仿宋" w:hAnsi="仿宋" w:eastAsia="仿宋" w:cs="仿宋"/>
          <w:lang w:val="en-US" w:eastAsia="zh-CN"/>
        </w:rPr>
        <w:t>9.耕地套种技术临平实践路径研究</w:t>
      </w:r>
    </w:p>
    <w:p>
      <w:pPr>
        <w:pStyle w:val="7"/>
        <w:numPr>
          <w:numId w:val="0"/>
        </w:numPr>
        <w:ind w:firstLine="640" w:firstLineChars="200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lang w:val="en-US" w:eastAsia="zh-CN"/>
        </w:rPr>
        <w:t>.以税收视角看临平总部经济发展情况及相关建议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11.共同富裕背景下高净值个人税收征管的思考研究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lang w:val="en-US" w:eastAsia="zh-CN"/>
        </w:rPr>
        <w:t>12.税收视角下推进达成双碳目标的思考与对策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lang w:val="en-US" w:eastAsia="zh-CN"/>
        </w:rPr>
        <w:t>13.建设5G智慧商圈，助力临平品质城区建设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14.数字化建立电商出口管理闭环的实践探索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15.临平区大力引进高端创新人才研究</w:t>
      </w:r>
    </w:p>
    <w:p>
      <w:pPr>
        <w:pStyle w:val="7"/>
        <w:numPr>
          <w:ilvl w:val="0"/>
          <w:numId w:val="1"/>
        </w:numPr>
        <w:ind w:firstLine="640" w:firstLineChars="200"/>
        <w:rPr>
          <w:rFonts w:hint="eastAsia"/>
        </w:rPr>
      </w:pPr>
      <w:r>
        <w:rPr>
          <w:rFonts w:hint="eastAsia"/>
        </w:rPr>
        <w:t>文化研究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default" w:ascii="Times New Roman" w:hAnsi="Times New Roman" w:eastAsia="仿宋" w:cs="Times New Roman"/>
          <w:lang w:val="en-US" w:eastAsia="zh-CN"/>
        </w:rPr>
        <w:t>1.</w:t>
      </w:r>
      <w:r>
        <w:rPr>
          <w:rFonts w:hint="eastAsia" w:ascii="仿宋" w:hAnsi="仿宋" w:eastAsia="仿宋" w:cs="仿宋"/>
          <w:lang w:val="en-US" w:eastAsia="zh-CN"/>
        </w:rPr>
        <w:t>临平区文化元素的现代呈现研究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ascii="Times New Roman" w:hAnsi="Times New Roman" w:eastAsia="仿宋" w:cs="Times New Roman"/>
          <w:lang w:val="en-US" w:eastAsia="zh-CN"/>
        </w:rPr>
        <w:t>2.</w:t>
      </w:r>
      <w:r>
        <w:rPr>
          <w:rFonts w:hint="eastAsia" w:ascii="仿宋" w:hAnsi="仿宋" w:eastAsia="仿宋" w:cs="仿宋"/>
          <w:lang w:val="en-US" w:eastAsia="zh-CN"/>
        </w:rPr>
        <w:t>临平区实施宋韵文化传世工程研究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ascii="Times New Roman" w:hAnsi="Times New Roman" w:eastAsia="仿宋" w:cs="Times New Roman"/>
          <w:lang w:val="en-US" w:eastAsia="zh-CN"/>
        </w:rPr>
        <w:t>3.</w:t>
      </w:r>
      <w:r>
        <w:rPr>
          <w:rFonts w:hint="eastAsia" w:ascii="仿宋" w:hAnsi="仿宋" w:eastAsia="仿宋" w:cs="仿宋"/>
          <w:lang w:val="en-US" w:eastAsia="zh-CN"/>
        </w:rPr>
        <w:t>临平区宋韵文化时尚化研究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lang w:val="en-US" w:eastAsia="zh-CN"/>
        </w:rPr>
        <w:t>.</w:t>
      </w:r>
      <w:r>
        <w:rPr>
          <w:rFonts w:hint="eastAsia" w:ascii="仿宋" w:hAnsi="仿宋" w:eastAsia="仿宋" w:cs="仿宋"/>
          <w:lang w:val="en-US" w:eastAsia="zh-CN"/>
        </w:rPr>
        <w:t>临平区钱塘江海塘遗址保护展示研究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lang w:val="en-US" w:eastAsia="zh-CN"/>
        </w:rPr>
        <w:t>.</w:t>
      </w:r>
      <w:r>
        <w:rPr>
          <w:rFonts w:hint="eastAsia" w:ascii="仿宋" w:hAnsi="仿宋" w:eastAsia="仿宋" w:cs="仿宋"/>
          <w:lang w:val="en-US" w:eastAsia="zh-CN"/>
        </w:rPr>
        <w:t>以塘栖为个案研究大运河码头古镇发展历史</w:t>
      </w:r>
    </w:p>
    <w:p>
      <w:pPr>
        <w:pStyle w:val="7"/>
        <w:numPr>
          <w:numId w:val="0"/>
        </w:numPr>
        <w:ind w:firstLine="640" w:firstLineChars="200"/>
        <w:rPr>
          <w:rFonts w:hint="eastAsia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>6.“数字移动文化馆（站）”新空间的建设思考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7.“进一步加强家庭家教家风建设，夯实共同富裕的精神家园”行动研究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8.家校社共育与临平精神研究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lang w:val="en-US" w:eastAsia="zh-CN"/>
        </w:rPr>
        <w:t>9.临平文化与时代精神文明建设研究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10.临平文化旅游融合发展路径研究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lang w:val="en-US" w:eastAsia="zh-CN"/>
        </w:rPr>
        <w:t>11.鸭兰村红色文化挖掘与传承研究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12.临平红色文化品牌塑造和红色资源整合开发研究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lang w:val="en-US" w:eastAsia="zh-CN"/>
        </w:rPr>
        <w:t>13.中华优秀传统文化弘扬路径研究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lang w:val="en-US" w:eastAsia="zh-CN"/>
        </w:rPr>
        <w:t>14.临平区加强中小学德育有效教育路径研究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15.融媒体时代的舆论引导机制研究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lang w:val="en-US" w:eastAsia="zh-CN"/>
        </w:rPr>
      </w:pPr>
      <w:r>
        <w:rPr>
          <w:rFonts w:hint="eastAsia" w:eastAsia="仿宋" w:cs="Times New Roman"/>
          <w:lang w:val="en-US" w:eastAsia="zh-CN"/>
        </w:rPr>
        <w:t>16.临平加快大运河国家文化公园建设研究</w:t>
      </w:r>
    </w:p>
    <w:p>
      <w:pPr>
        <w:pStyle w:val="6"/>
        <w:numPr>
          <w:ilvl w:val="0"/>
          <w:numId w:val="1"/>
        </w:numPr>
        <w:ind w:left="0" w:leftChars="0" w:firstLine="640" w:firstLineChars="200"/>
        <w:jc w:val="both"/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 xml:space="preserve">空间规划与生态文明建设研究 </w:t>
      </w:r>
    </w:p>
    <w:p>
      <w:pPr>
        <w:pStyle w:val="6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临平区借势长三角一体化领衔杭州都市圈协同发展研究</w:t>
      </w:r>
    </w:p>
    <w:p>
      <w:pPr>
        <w:pStyle w:val="6"/>
        <w:numPr>
          <w:numId w:val="0"/>
        </w:numPr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※</w:t>
      </w: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2.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临平区城乡土地资源综合有效利用研究</w:t>
      </w:r>
    </w:p>
    <w:p>
      <w:pPr>
        <w:pStyle w:val="6"/>
        <w:numPr>
          <w:numId w:val="0"/>
        </w:numPr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3.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临平区提高综合资源要素配置水平研究</w:t>
      </w:r>
    </w:p>
    <w:p>
      <w:pPr>
        <w:pStyle w:val="6"/>
        <w:numPr>
          <w:ilvl w:val="0"/>
          <w:numId w:val="2"/>
        </w:numPr>
        <w:ind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临平区引进和集聚人才研究</w:t>
      </w:r>
    </w:p>
    <w:p>
      <w:pPr>
        <w:pStyle w:val="6"/>
        <w:numPr>
          <w:numId w:val="0"/>
        </w:numPr>
        <w:ind w:leftChars="200" w:right="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※5.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临平区城市污水厂污泥处置模式创新对策研究</w:t>
      </w:r>
    </w:p>
    <w:p>
      <w:pPr>
        <w:pStyle w:val="6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6</w:t>
      </w: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临平区城市公园规划建设研究</w:t>
      </w:r>
    </w:p>
    <w:p>
      <w:pPr>
        <w:pStyle w:val="6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※7.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临平区城市建设融入地方文化特色研究</w:t>
      </w:r>
    </w:p>
    <w:p>
      <w:pPr>
        <w:pStyle w:val="6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8</w:t>
      </w: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临平区提升全域人居和生态环境研究</w:t>
      </w:r>
    </w:p>
    <w:p>
      <w:pPr>
        <w:pStyle w:val="6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※9.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临平区实施“南融、北创、东靓、西优、中兴”战略研究</w:t>
      </w:r>
    </w:p>
    <w:p>
      <w:pPr>
        <w:pStyle w:val="7"/>
        <w:numPr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五、社会研究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临平区社会治理现代化和治理效能提升研究</w:t>
      </w:r>
    </w:p>
    <w:p>
      <w:pPr>
        <w:pStyle w:val="7"/>
        <w:numPr>
          <w:numId w:val="0"/>
        </w:numPr>
        <w:ind w:firstLine="640" w:firstLineChars="200"/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2.借力医保联网结算系统实现工伤医疗费即时结算</w:t>
      </w: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3.临平区欠薪治理从“制治”到“智治”的实践探索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4.临平加强青少年思政教育研究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5.新形势下临平面临的挑战与应对策略研究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6.临平构建居家社区机构相协调、医养康养相结合的养老服务体系研究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7.构建未来社区临平路径研究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8.临平区网络综合治理研究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9.临平区打造“教育强区”的策略与路径研究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10.临平区高职英语教育发展路径研究</w:t>
      </w:r>
    </w:p>
    <w:p>
      <w:pPr>
        <w:pStyle w:val="7"/>
        <w:numPr>
          <w:ilvl w:val="0"/>
          <w:numId w:val="3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临平开启高水平全面建设社会主义现代化国家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新征程研究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2.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红色法学家何思敬对中国共产党早期发展的历史贡献研究</w:t>
      </w:r>
    </w:p>
    <w:p>
      <w:pPr>
        <w:pStyle w:val="7"/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3.</w:t>
      </w:r>
      <w:r>
        <w:rPr>
          <w:rFonts w:hint="eastAsia" w:ascii="仿宋" w:hAnsi="仿宋" w:eastAsia="仿宋" w:cs="仿宋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临平区提升干部队伍能力素质，激发干部干事创业激情研究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4.新时代临平区意识形态工作的特点和规律研究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5.临平区党建与业务工作融合发展研究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6.新时代临平民营经济统战工作研究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仿宋"/>
          <w:color w:val="000000"/>
          <w:sz w:val="32"/>
          <w:szCs w:val="32"/>
        </w:rPr>
        <w:t>※</w:t>
      </w: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7.智能传播时代的舆情演变机制及治理研究</w:t>
      </w:r>
    </w:p>
    <w:p>
      <w:pPr>
        <w:pStyle w:val="7"/>
        <w:numPr>
          <w:numId w:val="0"/>
        </w:numPr>
        <w:ind w:firstLine="640" w:firstLineChars="200"/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</w:pPr>
      <w:r>
        <w:rPr>
          <w:rFonts w:hint="eastAsia" w:eastAsia="仿宋" w:cs="Times New Roman"/>
          <w:b w:val="0"/>
          <w:snapToGrid w:val="0"/>
          <w:spacing w:val="0"/>
          <w:kern w:val="2"/>
          <w:sz w:val="32"/>
          <w:szCs w:val="40"/>
          <w:lang w:val="en-US" w:eastAsia="zh-CN" w:bidi="ar-SA"/>
        </w:rPr>
        <w:t>8.临平清廉文化建设研究</w:t>
      </w:r>
    </w:p>
    <w:p>
      <w:pPr>
        <w:autoSpaceDE w:val="0"/>
        <w:spacing w:line="570" w:lineRule="exact"/>
        <w:ind w:left="0" w:leftChars="0" w:firstLine="0" w:firstLineChars="0"/>
        <w:rPr>
          <w:rFonts w:hint="eastAsia" w:eastAsia="仿宋"/>
          <w:color w:val="000000"/>
          <w:sz w:val="32"/>
          <w:szCs w:val="32"/>
        </w:rPr>
      </w:pPr>
    </w:p>
    <w:p>
      <w:pPr>
        <w:autoSpaceDE w:val="0"/>
        <w:spacing w:line="570" w:lineRule="exact"/>
        <w:ind w:left="0" w:leftChars="0" w:firstLine="0" w:firstLineChars="0"/>
        <w:rPr>
          <w:rFonts w:hint="default" w:eastAsia="仿宋"/>
          <w:color w:val="000000"/>
          <w:sz w:val="32"/>
          <w:szCs w:val="32"/>
          <w:lang w:val="en-US" w:eastAsia="zh-CN"/>
        </w:rPr>
      </w:pPr>
      <w:r>
        <w:rPr>
          <w:rFonts w:hint="eastAsia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eastAsia="仿宋"/>
          <w:color w:val="000000"/>
          <w:sz w:val="32"/>
          <w:szCs w:val="32"/>
        </w:rPr>
        <w:t>以上课题名称仅作参考。各单位和研究人员可根据</w:t>
      </w:r>
      <w:r>
        <w:rPr>
          <w:rFonts w:hint="eastAsia" w:eastAsia="仿宋"/>
          <w:color w:val="000000"/>
          <w:sz w:val="32"/>
          <w:szCs w:val="32"/>
          <w:lang w:eastAsia="zh-CN"/>
        </w:rPr>
        <w:t>临平</w:t>
      </w:r>
      <w:r>
        <w:rPr>
          <w:rFonts w:hint="eastAsia" w:eastAsia="仿宋"/>
          <w:color w:val="000000"/>
          <w:sz w:val="32"/>
          <w:szCs w:val="32"/>
        </w:rPr>
        <w:t>区深入学习贯彻习近平新时代中国特色社会主义思想</w:t>
      </w:r>
      <w:r>
        <w:rPr>
          <w:rFonts w:hint="eastAsia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eastAsia="仿宋"/>
          <w:color w:val="000000"/>
          <w:sz w:val="32"/>
          <w:szCs w:val="32"/>
        </w:rPr>
        <w:t>以争创共同富裕示范区样板为牵引，实施“南融、北创、东靓、西优、中兴”的区域发展战略</w:t>
      </w:r>
      <w:r>
        <w:rPr>
          <w:rFonts w:hint="eastAsia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eastAsia="仿宋"/>
          <w:color w:val="000000"/>
          <w:sz w:val="32"/>
          <w:szCs w:val="32"/>
        </w:rPr>
        <w:t>推动城市能级、经济动能、治理效能“三大跃升”，打造长三角开放高地、数智化变革高地、全景式幸福高地，高水平建设“数智临平·品质城区”等工作实际自主选题。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1868991">
    <w:nsid w:val="61DCEEBF"/>
    <w:multiLevelType w:val="singleLevel"/>
    <w:tmpl w:val="61DCEEBF"/>
    <w:lvl w:ilvl="0" w:tentative="1">
      <w:start w:val="4"/>
      <w:numFmt w:val="decimal"/>
      <w:suff w:val="nothing"/>
      <w:lvlText w:val="%1."/>
      <w:lvlJc w:val="left"/>
    </w:lvl>
  </w:abstractNum>
  <w:abstractNum w:abstractNumId="1639550541">
    <w:nsid w:val="61B98E4D"/>
    <w:multiLevelType w:val="singleLevel"/>
    <w:tmpl w:val="61B98E4D"/>
    <w:lvl w:ilvl="0" w:tentative="1">
      <w:start w:val="6"/>
      <w:numFmt w:val="chineseCounting"/>
      <w:suff w:val="nothing"/>
      <w:lvlText w:val="%1、"/>
      <w:lvlJc w:val="left"/>
    </w:lvl>
  </w:abstractNum>
  <w:abstractNum w:abstractNumId="1639536435">
    <w:nsid w:val="61B95733"/>
    <w:multiLevelType w:val="singleLevel"/>
    <w:tmpl w:val="61B95733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39536435"/>
  </w:num>
  <w:num w:numId="2">
    <w:abstractNumId w:val="1641868991"/>
  </w:num>
  <w:num w:numId="3">
    <w:abstractNumId w:val="16395505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BDB9F4F"/>
    <w:rsid w:val="0BDB9F4F"/>
    <w:rsid w:val="20EC25F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iPriority w:val="0"/>
    <w:pPr>
      <w:widowControl w:val="0"/>
      <w:spacing w:before="0" w:beforeAutospacing="0" w:after="0" w:afterAutospacing="0" w:line="360" w:lineRule="exact"/>
      <w:ind w:left="0" w:right="0"/>
      <w:jc w:val="both"/>
    </w:pPr>
    <w:rPr>
      <w:rFonts w:hint="eastAsia" w:ascii="宋体" w:hAnsi="Times New Roman" w:eastAsia="宋体" w:cs="Times New Roman"/>
      <w:b/>
      <w:kern w:val="2"/>
      <w:sz w:val="28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居中楷体"/>
    <w:basedOn w:val="2"/>
    <w:uiPriority w:val="0"/>
    <w:pPr>
      <w:widowControl/>
      <w:spacing w:before="48" w:beforeAutospacing="0" w:after="0" w:afterAutospacing="0" w:line="570" w:lineRule="exact"/>
      <w:ind w:left="0" w:right="0" w:firstLine="640" w:firstLineChars="200"/>
      <w:jc w:val="center"/>
      <w:outlineLvl w:val="2"/>
    </w:pPr>
    <w:rPr>
      <w:rFonts w:hint="eastAsia" w:ascii="楷体" w:hAnsi="楷体" w:eastAsia="楷体" w:cs="仿宋"/>
      <w:spacing w:val="3"/>
      <w:kern w:val="2"/>
      <w:sz w:val="32"/>
      <w:szCs w:val="22"/>
      <w:lang w:val="en-US" w:eastAsia="zh-CN" w:bidi="ar-SA"/>
    </w:rPr>
  </w:style>
  <w:style w:type="paragraph" w:customStyle="1" w:styleId="7">
    <w:name w:val="黑体"/>
    <w:basedOn w:val="1"/>
    <w:uiPriority w:val="0"/>
    <w:pPr>
      <w:widowControl/>
      <w:snapToGrid w:val="0"/>
      <w:spacing w:before="0" w:beforeAutospacing="0" w:after="0" w:afterAutospacing="0" w:line="570" w:lineRule="exact"/>
      <w:ind w:left="0" w:right="0" w:firstLine="640" w:firstLineChars="200"/>
      <w:jc w:val="left"/>
    </w:pPr>
    <w:rPr>
      <w:rFonts w:hint="eastAsia" w:ascii="Times New Roman" w:hAnsi="Times New Roman" w:eastAsia="黑体" w:cs="Times New Roman"/>
      <w:kern w:val="2"/>
      <w:sz w:val="32"/>
      <w:szCs w:val="4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2022-01-12T14:05:00Z</dcterms:created>
  <dc:creator>liugang</dc:creator>
  <cp:lastModifiedBy>王李萍</cp:lastModifiedBy>
  <dcterms:modified xsi:type="dcterms:W3CDTF">2022-01-12T08:49:47Z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