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080" w:firstLineChars="1100"/>
        <w:jc w:val="both"/>
        <w:rPr>
          <w:rFonts w:ascii="Times New Roman" w:hAnsi="Times New Roman" w:eastAsia="楷体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kern w:val="0"/>
          <w:sz w:val="28"/>
          <w:szCs w:val="28"/>
        </w:rPr>
        <w:t>浙江省第二十二届哲学社会科学优秀成果奖</w:t>
      </w:r>
      <w:r>
        <w:rPr>
          <w:rFonts w:hint="eastAsia" w:ascii="Times New Roman" w:hAnsi="Times New Roman" w:eastAsia="楷体" w:cs="Times New Roman"/>
          <w:color w:val="000000" w:themeColor="text1"/>
          <w:kern w:val="0"/>
          <w:sz w:val="28"/>
          <w:szCs w:val="28"/>
        </w:rPr>
        <w:t>推荐申报名单</w:t>
      </w:r>
    </w:p>
    <w:p/>
    <w:tbl>
      <w:tblPr>
        <w:tblStyle w:val="4"/>
        <w:tblW w:w="13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939"/>
        <w:gridCol w:w="4967"/>
        <w:gridCol w:w="1265"/>
        <w:gridCol w:w="1447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学院/部门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成果类型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语境下汉语隐喻理解的模型研究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基础理论研究类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走出“超空间”――詹姆逊电影批评研究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基础理论研究类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北洋政府时期大学无序发展的制度演进及成因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基础理论研究类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德国以数字技术推动教育国际化发展战略分析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基础理论研究类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服务贸易开放、研发投入结构错配与工业绿色全要素生产率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梁会君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应用对策研究与社科普及类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精准扶贫首倡地的乡村振兴新路――从十八洞村“洞见”乡村发展图景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毛攀云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应用对策研究与社科普及类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建党百年背景下中国特色马克思主义文学新视角初论――评《20世纪中国马克思主义文学理论研究》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万玉情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马克思主义基本理论研究类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社会治理共同体：时代解读、现实依据与价值意蕴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马友乐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马克思主义基本理论研究类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ZmM2NjNDhmYjJhYTdkYjczMjJjOWUwNDYwYzcwYmYifQ=="/>
  </w:docVars>
  <w:rsids>
    <w:rsidRoot w:val="1BCC1F13"/>
    <w:rsid w:val="003A4989"/>
    <w:rsid w:val="007F788A"/>
    <w:rsid w:val="00A91E91"/>
    <w:rsid w:val="028D060B"/>
    <w:rsid w:val="0F160770"/>
    <w:rsid w:val="1BCC1F13"/>
    <w:rsid w:val="402326DB"/>
    <w:rsid w:val="426260BF"/>
    <w:rsid w:val="6BA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2023-01-12T11:01:00Z</dcterms:created>
  <dc:creator>文档存本地丢失不负责</dc:creator>
  <cp:lastModifiedBy>a'd'min</cp:lastModifiedBy>
  <dcterms:modified xsi:type="dcterms:W3CDTF">2023-05-18T06:22:30Z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EBC37595BF434C53AF24CF28BCB95239</vt:lpwstr>
  </property>
</Properties>
</file>